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9E4A79" w14:textId="77777777" w:rsidR="00AF19DD" w:rsidRPr="001E399C" w:rsidRDefault="00AF19DD" w:rsidP="00AF19DD">
      <w:pPr>
        <w:pBdr>
          <w:top w:val="single" w:sz="24" w:space="0" w:color="4472C4" w:themeColor="accent1"/>
          <w:left w:val="single" w:sz="24" w:space="0" w:color="4472C4" w:themeColor="accent1"/>
          <w:bottom w:val="single" w:sz="24" w:space="0" w:color="4472C4" w:themeColor="accent1"/>
          <w:right w:val="single" w:sz="24" w:space="0" w:color="4472C4" w:themeColor="accent1"/>
        </w:pBdr>
        <w:shd w:val="clear" w:color="auto" w:fill="4472C4" w:themeFill="accent1"/>
        <w:spacing w:after="0" w:line="240" w:lineRule="auto"/>
        <w:outlineLvl w:val="0"/>
        <w:rPr>
          <w:rFonts w:eastAsiaTheme="minorEastAsia"/>
          <w:caps/>
          <w:color w:val="FFFFFF" w:themeColor="background1"/>
          <w:spacing w:val="15"/>
        </w:rPr>
      </w:pPr>
      <w:r>
        <w:rPr>
          <w:rFonts w:eastAsiaTheme="minorEastAsia"/>
          <w:caps/>
          <w:color w:val="FFFFFF" w:themeColor="background1"/>
          <w:spacing w:val="15"/>
        </w:rPr>
        <w:t>9</w:t>
      </w:r>
      <w:r w:rsidRPr="001E399C">
        <w:rPr>
          <w:rFonts w:eastAsiaTheme="minorEastAsia"/>
          <w:caps/>
          <w:color w:val="FFFFFF" w:themeColor="background1"/>
          <w:spacing w:val="15"/>
        </w:rPr>
        <w:t>. számú melléklet</w:t>
      </w:r>
    </w:p>
    <w:p w14:paraId="409BE66A" w14:textId="77777777" w:rsidR="00AF19DD" w:rsidRPr="001E399C" w:rsidRDefault="00AF19DD" w:rsidP="00AF19DD">
      <w:pPr>
        <w:pBdr>
          <w:top w:val="single" w:sz="24" w:space="0" w:color="D9E2F3" w:themeColor="accent1" w:themeTint="33"/>
          <w:left w:val="single" w:sz="24" w:space="0" w:color="D9E2F3" w:themeColor="accent1" w:themeTint="33"/>
          <w:bottom w:val="single" w:sz="24" w:space="0" w:color="D9E2F3" w:themeColor="accent1" w:themeTint="33"/>
          <w:right w:val="single" w:sz="24" w:space="0" w:color="D9E2F3" w:themeColor="accent1" w:themeTint="33"/>
        </w:pBdr>
        <w:shd w:val="clear" w:color="auto" w:fill="D9E2F3" w:themeFill="accent1" w:themeFillTint="33"/>
        <w:spacing w:after="0" w:line="240" w:lineRule="auto"/>
        <w:outlineLvl w:val="1"/>
        <w:rPr>
          <w:rFonts w:ascii="Calibri" w:eastAsiaTheme="minorEastAsia" w:hAnsi="Calibri"/>
          <w:caps/>
          <w:spacing w:val="15"/>
          <w:sz w:val="20"/>
          <w:szCs w:val="20"/>
        </w:rPr>
      </w:pPr>
      <w:r>
        <w:rPr>
          <w:rFonts w:ascii="Calibri" w:eastAsiaTheme="minorEastAsia" w:hAnsi="Calibri"/>
          <w:b/>
          <w:caps/>
          <w:color w:val="002060"/>
          <w:spacing w:val="10"/>
          <w:sz w:val="20"/>
          <w:szCs w:val="20"/>
        </w:rPr>
        <w:t>Az egészségügyi adatok továbbításának lehetséges címzettjei</w:t>
      </w:r>
    </w:p>
    <w:p w14:paraId="37E33DE9" w14:textId="77777777" w:rsidR="00AF19DD" w:rsidRPr="001E399C" w:rsidRDefault="00AF19DD" w:rsidP="00AF19DD">
      <w:pPr>
        <w:spacing w:after="0" w:line="240" w:lineRule="auto"/>
        <w:contextualSpacing/>
        <w:rPr>
          <w:rFonts w:ascii="Gill Sans MT" w:eastAsia="Times New Roman" w:hAnsi="Gill Sans MT" w:cs="Times New Roman"/>
          <w:sz w:val="20"/>
          <w:szCs w:val="20"/>
        </w:rPr>
      </w:pPr>
    </w:p>
    <w:p w14:paraId="23CADF79" w14:textId="77777777" w:rsidR="00AF19DD" w:rsidRPr="001E399C" w:rsidRDefault="00AF19DD" w:rsidP="00AF19DD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</w:rPr>
      </w:pPr>
      <w:r w:rsidRPr="001E399C">
        <w:rPr>
          <w:rFonts w:cstheme="minorHAnsi"/>
          <w:b/>
          <w:bCs/>
        </w:rPr>
        <w:t>1. Az egészségügyi ellátóhálózaton belül</w:t>
      </w:r>
    </w:p>
    <w:p w14:paraId="38EBF7E7" w14:textId="77777777" w:rsidR="00AF19DD" w:rsidRPr="001E399C" w:rsidRDefault="00AF19DD" w:rsidP="00AF19DD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1E399C">
        <w:rPr>
          <w:rFonts w:cstheme="minorHAnsi"/>
        </w:rPr>
        <w:t>1.1 Betegségregiszter</w:t>
      </w:r>
    </w:p>
    <w:p w14:paraId="4F9235AE" w14:textId="77777777" w:rsidR="00AF19DD" w:rsidRPr="001E399C" w:rsidRDefault="00AF19DD" w:rsidP="00AF19DD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1E399C">
        <w:rPr>
          <w:rFonts w:cstheme="minorHAnsi"/>
        </w:rPr>
        <w:t>1.2 Bőrbeteg ellátás intézményei</w:t>
      </w:r>
    </w:p>
    <w:p w14:paraId="3722291B" w14:textId="77777777" w:rsidR="00AF19DD" w:rsidRPr="001E399C" w:rsidRDefault="00AF19DD" w:rsidP="00AF19DD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1E399C">
        <w:rPr>
          <w:rFonts w:cstheme="minorHAnsi"/>
        </w:rPr>
        <w:t>1.3 Daganatos betegségeket nyilvántartó regiszterek</w:t>
      </w:r>
    </w:p>
    <w:p w14:paraId="348FC2EE" w14:textId="77777777" w:rsidR="00AF19DD" w:rsidRPr="001E399C" w:rsidRDefault="00AF19DD" w:rsidP="00AF19DD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1E399C">
        <w:rPr>
          <w:rFonts w:cstheme="minorHAnsi"/>
        </w:rPr>
        <w:t>1.4 Egészségbiztosítási szerv</w:t>
      </w:r>
    </w:p>
    <w:p w14:paraId="0A36014D" w14:textId="77777777" w:rsidR="00AF19DD" w:rsidRPr="001E399C" w:rsidRDefault="00AF19DD" w:rsidP="00AF19DD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1E399C">
        <w:rPr>
          <w:rFonts w:cstheme="minorHAnsi"/>
        </w:rPr>
        <w:t>1.5 Egészségügyért felelős miniszter</w:t>
      </w:r>
    </w:p>
    <w:p w14:paraId="54DC9C78" w14:textId="77777777" w:rsidR="00AF19DD" w:rsidRPr="001E399C" w:rsidRDefault="00AF19DD" w:rsidP="00AF19DD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1E399C">
        <w:rPr>
          <w:rFonts w:cstheme="minorHAnsi"/>
        </w:rPr>
        <w:t>1.6 Egészségügyért felelős miniszter irányítása alá tartozó országos intézet</w:t>
      </w:r>
    </w:p>
    <w:p w14:paraId="2E6B9BF5" w14:textId="77777777" w:rsidR="00AF19DD" w:rsidRPr="001E399C" w:rsidRDefault="00AF19DD" w:rsidP="00AF19DD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1E399C">
        <w:rPr>
          <w:rFonts w:cstheme="minorHAnsi"/>
        </w:rPr>
        <w:t>1.7 Egészségügyi államigazgatási szerv</w:t>
      </w:r>
    </w:p>
    <w:p w14:paraId="714AE336" w14:textId="77777777" w:rsidR="00AF19DD" w:rsidRPr="001E399C" w:rsidRDefault="00AF19DD" w:rsidP="00AF19DD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1E399C">
        <w:rPr>
          <w:rFonts w:cstheme="minorHAnsi"/>
        </w:rPr>
        <w:t>1.8 Halottvizsgálatot végző orvos</w:t>
      </w:r>
    </w:p>
    <w:p w14:paraId="60FB8D52" w14:textId="77777777" w:rsidR="00AF19DD" w:rsidRPr="001E399C" w:rsidRDefault="00AF19DD" w:rsidP="00AF19DD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1E399C">
        <w:rPr>
          <w:rFonts w:cstheme="minorHAnsi"/>
        </w:rPr>
        <w:t>1.9 Központi Implantátumrendszer</w:t>
      </w:r>
    </w:p>
    <w:p w14:paraId="2D6962A0" w14:textId="77777777" w:rsidR="00AF19DD" w:rsidRPr="001E399C" w:rsidRDefault="00AF19DD" w:rsidP="00AF19DD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1E399C">
        <w:rPr>
          <w:rFonts w:cstheme="minorHAnsi"/>
        </w:rPr>
        <w:t>1.10 Nemibeteg ellátás intézményei</w:t>
      </w:r>
    </w:p>
    <w:p w14:paraId="3EF953D0" w14:textId="77777777" w:rsidR="00AF19DD" w:rsidRPr="001E399C" w:rsidRDefault="00AF19DD" w:rsidP="00AF19DD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1E399C">
        <w:rPr>
          <w:rFonts w:cstheme="minorHAnsi"/>
        </w:rPr>
        <w:t>1.11 Nemzeti Szívinfarktus Regiszter</w:t>
      </w:r>
    </w:p>
    <w:p w14:paraId="7E113B89" w14:textId="77777777" w:rsidR="00AF19DD" w:rsidRPr="001E399C" w:rsidRDefault="00AF19DD" w:rsidP="00AF19DD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1E399C">
        <w:rPr>
          <w:rFonts w:cstheme="minorHAnsi"/>
        </w:rPr>
        <w:t>1.12 Nyilvántartást végző egészségügyi szolgáltatók</w:t>
      </w:r>
    </w:p>
    <w:p w14:paraId="7625E2F7" w14:textId="77777777" w:rsidR="00AF19DD" w:rsidRPr="001E399C" w:rsidRDefault="00AF19DD" w:rsidP="00AF19DD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1E399C">
        <w:rPr>
          <w:rFonts w:cstheme="minorHAnsi"/>
        </w:rPr>
        <w:t>1.13 Protézis Regiszter</w:t>
      </w:r>
    </w:p>
    <w:p w14:paraId="268102A9" w14:textId="77777777" w:rsidR="00AF19DD" w:rsidRPr="001E399C" w:rsidRDefault="00AF19DD" w:rsidP="00AF19DD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1E399C">
        <w:rPr>
          <w:rFonts w:cstheme="minorHAnsi"/>
        </w:rPr>
        <w:t>1.14 Térségi betegút-szervezésért felelős szerv</w:t>
      </w:r>
    </w:p>
    <w:p w14:paraId="3E4FDAA5" w14:textId="77777777" w:rsidR="00AF19DD" w:rsidRPr="001E399C" w:rsidRDefault="00AF19DD" w:rsidP="00AF19DD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1E399C">
        <w:rPr>
          <w:rFonts w:cstheme="minorHAnsi"/>
        </w:rPr>
        <w:t>1.15 Tüdőgondozó intézetek</w:t>
      </w:r>
    </w:p>
    <w:p w14:paraId="1883D033" w14:textId="77777777" w:rsidR="00AF19DD" w:rsidRPr="001E399C" w:rsidRDefault="00AF19DD" w:rsidP="00AF19DD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1E399C">
        <w:rPr>
          <w:rFonts w:cstheme="minorHAnsi"/>
        </w:rPr>
        <w:t>1.16 Veleszületett Rendellenességek Országos Nyilvántartása</w:t>
      </w:r>
    </w:p>
    <w:p w14:paraId="13D6E95B" w14:textId="77777777" w:rsidR="00AF19DD" w:rsidRDefault="00AF19DD" w:rsidP="00AF19DD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</w:rPr>
      </w:pPr>
    </w:p>
    <w:p w14:paraId="36C2FDB5" w14:textId="77777777" w:rsidR="00AF19DD" w:rsidRPr="001E399C" w:rsidRDefault="00AF19DD" w:rsidP="00AF19DD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</w:rPr>
      </w:pPr>
      <w:r w:rsidRPr="001E399C">
        <w:rPr>
          <w:rFonts w:cstheme="minorHAnsi"/>
          <w:b/>
          <w:bCs/>
        </w:rPr>
        <w:t>2. Az egészségügyi ellátóhálózaton kívül</w:t>
      </w:r>
    </w:p>
    <w:p w14:paraId="718BE4B0" w14:textId="77777777" w:rsidR="00AF19DD" w:rsidRPr="001E399C" w:rsidRDefault="00AF19DD" w:rsidP="00AF19DD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1E399C">
        <w:rPr>
          <w:rFonts w:cstheme="minorHAnsi"/>
        </w:rPr>
        <w:t>2.1 Államigazgatási szervek</w:t>
      </w:r>
    </w:p>
    <w:p w14:paraId="1ED12F46" w14:textId="77777777" w:rsidR="00AF19DD" w:rsidRPr="001E399C" w:rsidRDefault="00AF19DD" w:rsidP="00AF19DD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1E399C">
        <w:rPr>
          <w:rFonts w:cstheme="minorHAnsi"/>
        </w:rPr>
        <w:t>2.2 Belső bűnmegelőzési és bűnfelderítési feladatokat ellátó szervek</w:t>
      </w:r>
    </w:p>
    <w:p w14:paraId="5A0F434E" w14:textId="77777777" w:rsidR="00AF19DD" w:rsidRPr="001E399C" w:rsidRDefault="00AF19DD" w:rsidP="00AF19DD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1E399C">
        <w:rPr>
          <w:rFonts w:cstheme="minorHAnsi"/>
        </w:rPr>
        <w:t>2.3 Büntetőügyben a bíróság</w:t>
      </w:r>
    </w:p>
    <w:p w14:paraId="1695EDFE" w14:textId="77777777" w:rsidR="00AF19DD" w:rsidRPr="001E399C" w:rsidRDefault="00AF19DD" w:rsidP="00AF19DD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1E399C">
        <w:rPr>
          <w:rFonts w:cstheme="minorHAnsi"/>
        </w:rPr>
        <w:t>2.4 Büntetőügyben a nyomozó hatóság</w:t>
      </w:r>
    </w:p>
    <w:p w14:paraId="10D7D6E8" w14:textId="77777777" w:rsidR="00AF19DD" w:rsidRPr="001E399C" w:rsidRDefault="00AF19DD" w:rsidP="00AF19DD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1E399C">
        <w:rPr>
          <w:rFonts w:cstheme="minorHAnsi"/>
        </w:rPr>
        <w:t>2.5 Büntetőügyben az előkészítő eljárást folytató szerv</w:t>
      </w:r>
    </w:p>
    <w:p w14:paraId="435C4D82" w14:textId="77777777" w:rsidR="00AF19DD" w:rsidRPr="001E399C" w:rsidRDefault="00AF19DD" w:rsidP="00AF19DD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1E399C">
        <w:rPr>
          <w:rFonts w:cstheme="minorHAnsi"/>
        </w:rPr>
        <w:t>2.6 Büntetőügyben az igazságügyi szakértő</w:t>
      </w:r>
    </w:p>
    <w:p w14:paraId="47165C27" w14:textId="77777777" w:rsidR="00AF19DD" w:rsidRPr="001E399C" w:rsidRDefault="00AF19DD" w:rsidP="00AF19DD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1E399C">
        <w:rPr>
          <w:rFonts w:cstheme="minorHAnsi"/>
        </w:rPr>
        <w:t>2.7 Büntetőügyben az ügyészség</w:t>
      </w:r>
    </w:p>
    <w:p w14:paraId="3FDA1B89" w14:textId="77777777" w:rsidR="00AF19DD" w:rsidRPr="001E399C" w:rsidRDefault="00AF19DD" w:rsidP="00AF19DD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1E399C">
        <w:rPr>
          <w:rFonts w:cstheme="minorHAnsi"/>
        </w:rPr>
        <w:t>2.8 Egészségbiztosítási Alap működtetéséért felelős minisztérium</w:t>
      </w:r>
    </w:p>
    <w:p w14:paraId="2D5F28AB" w14:textId="77777777" w:rsidR="00AF19DD" w:rsidRPr="001E399C" w:rsidRDefault="00AF19DD" w:rsidP="00AF19DD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1E399C">
        <w:rPr>
          <w:rFonts w:cstheme="minorHAnsi"/>
        </w:rPr>
        <w:t>2.9 Egészségügyi szolgáltató telephelye szerint illetékes gyermekjóléti szolgálat</w:t>
      </w:r>
    </w:p>
    <w:p w14:paraId="36A7F00E" w14:textId="77777777" w:rsidR="00AF19DD" w:rsidRPr="001E399C" w:rsidRDefault="00AF19DD" w:rsidP="00AF19DD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1E399C">
        <w:rPr>
          <w:rFonts w:cstheme="minorHAnsi"/>
        </w:rPr>
        <w:t>2.10 Egészségügyi Világszervezet NER kapcsolattartó központja</w:t>
      </w:r>
    </w:p>
    <w:p w14:paraId="63B10AF2" w14:textId="77777777" w:rsidR="00AF19DD" w:rsidRPr="001E399C" w:rsidRDefault="00AF19DD" w:rsidP="00AF19DD">
      <w:pPr>
        <w:spacing w:after="0" w:line="240" w:lineRule="auto"/>
        <w:rPr>
          <w:rFonts w:cstheme="minorHAnsi"/>
        </w:rPr>
      </w:pPr>
      <w:r w:rsidRPr="001E399C">
        <w:rPr>
          <w:rFonts w:cstheme="minorHAnsi"/>
        </w:rPr>
        <w:t>2.11 Érintett lakóhelye, tartózkodási helye szerint illetékes élelmiszerlánc-felügyeleti szerv</w:t>
      </w:r>
    </w:p>
    <w:p w14:paraId="19FDD928" w14:textId="77777777" w:rsidR="00AF19DD" w:rsidRPr="001E399C" w:rsidRDefault="00AF19DD" w:rsidP="00AF19DD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1E399C">
        <w:rPr>
          <w:rFonts w:cstheme="minorHAnsi"/>
        </w:rPr>
        <w:t>2.12 Etikai eljárás lefolytatására hatáskörrel és illetékességgel rendelkező kamarai szerv</w:t>
      </w:r>
    </w:p>
    <w:p w14:paraId="3A8094F2" w14:textId="77777777" w:rsidR="00AF19DD" w:rsidRPr="001E399C" w:rsidRDefault="00AF19DD" w:rsidP="00AF19DD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1E399C">
        <w:rPr>
          <w:rFonts w:cstheme="minorHAnsi"/>
        </w:rPr>
        <w:t>2.13 Fővárosi és megyei kormányhivatal járási (kerületi) hivatala</w:t>
      </w:r>
    </w:p>
    <w:p w14:paraId="71DED157" w14:textId="77777777" w:rsidR="00AF19DD" w:rsidRPr="001E399C" w:rsidRDefault="00AF19DD" w:rsidP="00AF19DD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1E399C">
        <w:rPr>
          <w:rFonts w:cstheme="minorHAnsi"/>
        </w:rPr>
        <w:t>2.14 Katonai egészségügyi alkalmasságot megállapító bizottság</w:t>
      </w:r>
    </w:p>
    <w:p w14:paraId="0C11F71C" w14:textId="77777777" w:rsidR="00AF19DD" w:rsidRPr="001E399C" w:rsidRDefault="00AF19DD" w:rsidP="00AF19DD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1E399C">
        <w:rPr>
          <w:rFonts w:cstheme="minorHAnsi"/>
        </w:rPr>
        <w:t>2.15 Közigazgatási ügyben a bíróság</w:t>
      </w:r>
    </w:p>
    <w:p w14:paraId="2841B46E" w14:textId="77777777" w:rsidR="00AF19DD" w:rsidRPr="001E399C" w:rsidRDefault="00AF19DD" w:rsidP="00AF19DD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1E399C">
        <w:rPr>
          <w:rFonts w:cstheme="minorHAnsi"/>
        </w:rPr>
        <w:t>2.16 Közigazgatási ügyben a közigazgatási hatóság</w:t>
      </w:r>
    </w:p>
    <w:p w14:paraId="7BB3AFD5" w14:textId="77777777" w:rsidR="00AF19DD" w:rsidRPr="001E399C" w:rsidRDefault="00AF19DD" w:rsidP="00AF19DD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1E399C">
        <w:rPr>
          <w:rFonts w:cstheme="minorHAnsi"/>
        </w:rPr>
        <w:t>2.17 Közigazgatási ügyben az igazságügyi szakértő</w:t>
      </w:r>
    </w:p>
    <w:p w14:paraId="376D7058" w14:textId="77777777" w:rsidR="00AF19DD" w:rsidRPr="001E399C" w:rsidRDefault="00AF19DD" w:rsidP="00AF19DD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1E399C">
        <w:rPr>
          <w:rFonts w:cstheme="minorHAnsi"/>
        </w:rPr>
        <w:t>2.18 Közigazgatási ügyben az ügyészség</w:t>
      </w:r>
    </w:p>
    <w:p w14:paraId="7C7BC472" w14:textId="77777777" w:rsidR="00AF19DD" w:rsidRPr="001E399C" w:rsidRDefault="00AF19DD" w:rsidP="00AF19DD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1E399C">
        <w:rPr>
          <w:rFonts w:cstheme="minorHAnsi"/>
        </w:rPr>
        <w:t>2.19 Közlekedésbiztonsági szerv</w:t>
      </w:r>
    </w:p>
    <w:p w14:paraId="332C3982" w14:textId="77777777" w:rsidR="00AF19DD" w:rsidRPr="001E399C" w:rsidRDefault="00AF19DD" w:rsidP="00AF19DD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1E399C">
        <w:rPr>
          <w:rFonts w:cstheme="minorHAnsi"/>
        </w:rPr>
        <w:t>2.20 Központi Statisztikai Hivatal</w:t>
      </w:r>
    </w:p>
    <w:p w14:paraId="42A6FFE0" w14:textId="77777777" w:rsidR="00AF19DD" w:rsidRPr="001E399C" w:rsidRDefault="00AF19DD" w:rsidP="00AF19DD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1E399C">
        <w:rPr>
          <w:rFonts w:cstheme="minorHAnsi"/>
        </w:rPr>
        <w:t>2.21 Magyar Honvédség katonai igazgatási és központi adatfeldolgozó szerve</w:t>
      </w:r>
    </w:p>
    <w:p w14:paraId="1BB31170" w14:textId="77777777" w:rsidR="00AF19DD" w:rsidRPr="001E399C" w:rsidRDefault="00AF19DD" w:rsidP="00AF19DD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1E399C">
        <w:rPr>
          <w:rFonts w:cstheme="minorHAnsi"/>
        </w:rPr>
        <w:t>2.22 Munkahigiénés és foglalkozás-egészségügyi szerv</w:t>
      </w:r>
    </w:p>
    <w:p w14:paraId="3FB0C017" w14:textId="77777777" w:rsidR="00AF19DD" w:rsidRPr="001E399C" w:rsidRDefault="00AF19DD" w:rsidP="00AF19DD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1E399C">
        <w:rPr>
          <w:rFonts w:cstheme="minorHAnsi"/>
        </w:rPr>
        <w:t>2.23 Munkavédelmi hatóság</w:t>
      </w:r>
    </w:p>
    <w:p w14:paraId="7AC61A5A" w14:textId="77777777" w:rsidR="00AF19DD" w:rsidRPr="001E399C" w:rsidRDefault="00AF19DD" w:rsidP="00AF19DD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1E399C">
        <w:rPr>
          <w:rFonts w:cstheme="minorHAnsi"/>
        </w:rPr>
        <w:t>2.24 Nemzetbiztonsági szolgálatok</w:t>
      </w:r>
    </w:p>
    <w:p w14:paraId="1CEDF365" w14:textId="77777777" w:rsidR="00AF19DD" w:rsidRPr="001E399C" w:rsidRDefault="00AF19DD" w:rsidP="00AF19DD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1E399C">
        <w:rPr>
          <w:rFonts w:cstheme="minorHAnsi"/>
        </w:rPr>
        <w:lastRenderedPageBreak/>
        <w:t>2.25 Nemzeti Adó- és Vámhivatal</w:t>
      </w:r>
    </w:p>
    <w:p w14:paraId="6F9F378A" w14:textId="77777777" w:rsidR="00AF19DD" w:rsidRPr="001E399C" w:rsidRDefault="00AF19DD" w:rsidP="00AF19DD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1E399C">
        <w:rPr>
          <w:rFonts w:cstheme="minorHAnsi"/>
        </w:rPr>
        <w:t>2.26 NER végrehajtásában közreműködő szerv</w:t>
      </w:r>
    </w:p>
    <w:p w14:paraId="4A229EC5" w14:textId="77777777" w:rsidR="00AF19DD" w:rsidRPr="001E399C" w:rsidRDefault="00AF19DD" w:rsidP="00AF19DD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1E399C">
        <w:rPr>
          <w:rFonts w:cstheme="minorHAnsi"/>
        </w:rPr>
        <w:t>2.27 Polgári peres és nemperes ügyben a bíróság</w:t>
      </w:r>
    </w:p>
    <w:p w14:paraId="2D31CC4D" w14:textId="77777777" w:rsidR="00AF19DD" w:rsidRPr="001E399C" w:rsidRDefault="00AF19DD" w:rsidP="00AF19DD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1E399C">
        <w:rPr>
          <w:rFonts w:cstheme="minorHAnsi"/>
        </w:rPr>
        <w:t>2.28 Polgári peres és nemperes ügyben a közigazgatási hatóság</w:t>
      </w:r>
    </w:p>
    <w:p w14:paraId="6A776C8E" w14:textId="77777777" w:rsidR="00AF19DD" w:rsidRPr="001E399C" w:rsidRDefault="00AF19DD" w:rsidP="00AF19DD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1E399C">
        <w:rPr>
          <w:rFonts w:cstheme="minorHAnsi"/>
        </w:rPr>
        <w:t>2.29 Polgári peres és nemperes ügyben az igazságügyi szakértő</w:t>
      </w:r>
    </w:p>
    <w:p w14:paraId="028C617A" w14:textId="77777777" w:rsidR="00AF19DD" w:rsidRPr="001E399C" w:rsidRDefault="00AF19DD" w:rsidP="00AF19DD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1E399C">
        <w:rPr>
          <w:rFonts w:cstheme="minorHAnsi"/>
        </w:rPr>
        <w:t>2.30 Polgári peres és nemperes ügyben az ügyészség</w:t>
      </w:r>
    </w:p>
    <w:p w14:paraId="5E842949" w14:textId="77777777" w:rsidR="00AF19DD" w:rsidRPr="001E399C" w:rsidRDefault="00AF19DD" w:rsidP="00AF19DD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1E399C">
        <w:rPr>
          <w:rFonts w:cstheme="minorHAnsi"/>
        </w:rPr>
        <w:t>2.31 Rendkívüli halállal kapcsolatos hatósági eljárást lefolytató hatóság</w:t>
      </w:r>
    </w:p>
    <w:p w14:paraId="0F30B68F" w14:textId="77777777" w:rsidR="00AF19DD" w:rsidRPr="001E399C" w:rsidRDefault="00AF19DD" w:rsidP="00AF19DD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1E399C">
        <w:rPr>
          <w:rFonts w:cstheme="minorHAnsi"/>
        </w:rPr>
        <w:t>2.32 Rendőrség</w:t>
      </w:r>
    </w:p>
    <w:p w14:paraId="5AD838AE" w14:textId="77777777" w:rsidR="00AF19DD" w:rsidRPr="001E399C" w:rsidRDefault="00AF19DD" w:rsidP="00AF19DD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1E399C">
        <w:rPr>
          <w:rFonts w:cstheme="minorHAnsi"/>
        </w:rPr>
        <w:t>2.33 Szabálysértési eljárás során az eljárást lefolytató szervek</w:t>
      </w:r>
    </w:p>
    <w:p w14:paraId="340355E9" w14:textId="77777777" w:rsidR="00AF19DD" w:rsidRPr="001E399C" w:rsidRDefault="00AF19DD" w:rsidP="00AF19DD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1E399C">
        <w:rPr>
          <w:rFonts w:cstheme="minorHAnsi"/>
        </w:rPr>
        <w:t>2.34 Szakmai minőségértékelésért felelős szerv</w:t>
      </w:r>
    </w:p>
    <w:p w14:paraId="7F03984B" w14:textId="77777777" w:rsidR="00AF19DD" w:rsidRPr="001E399C" w:rsidRDefault="00AF19DD" w:rsidP="00AF19DD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1E399C">
        <w:rPr>
          <w:rFonts w:cstheme="minorHAnsi"/>
        </w:rPr>
        <w:t>2.35 Társadalombiztosítási igazgatási szervek</w:t>
      </w:r>
    </w:p>
    <w:p w14:paraId="47F66E7B" w14:textId="77777777" w:rsidR="00AF19DD" w:rsidRPr="001E399C" w:rsidRDefault="00AF19DD" w:rsidP="00AF19DD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1E399C">
        <w:rPr>
          <w:rFonts w:cstheme="minorHAnsi"/>
        </w:rPr>
        <w:t>2.36 Teljesítményértékelésért felelős szerv</w:t>
      </w:r>
    </w:p>
    <w:p w14:paraId="53F93AA0" w14:textId="77777777" w:rsidR="00AF19DD" w:rsidRPr="001E399C" w:rsidRDefault="00AF19DD" w:rsidP="00AF19DD">
      <w:pPr>
        <w:spacing w:after="0" w:line="240" w:lineRule="auto"/>
        <w:rPr>
          <w:rFonts w:cstheme="minorHAnsi"/>
        </w:rPr>
      </w:pPr>
      <w:r w:rsidRPr="001E399C">
        <w:rPr>
          <w:rFonts w:cstheme="minorHAnsi"/>
        </w:rPr>
        <w:t>2.37 Terrorizmust elhárító szervek</w:t>
      </w:r>
    </w:p>
    <w:p w14:paraId="1B4AF314" w14:textId="77777777" w:rsidR="00AF19DD" w:rsidRDefault="00AF19DD" w:rsidP="00AF19DD"/>
    <w:p w14:paraId="255C0FC6" w14:textId="77777777" w:rsidR="00AF19DD" w:rsidRDefault="00AF19DD" w:rsidP="00AF19DD"/>
    <w:p w14:paraId="57D5D9AC" w14:textId="77777777" w:rsidR="00AF19DD" w:rsidRDefault="00AF19DD" w:rsidP="00AF19DD"/>
    <w:p w14:paraId="420C84E9" w14:textId="77777777" w:rsidR="00000000" w:rsidRDefault="00000000"/>
    <w:sectPr w:rsidR="0067477C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6A8D64" w14:textId="77777777" w:rsidR="00BF1593" w:rsidRDefault="00BF1593" w:rsidP="00AF19DD">
      <w:pPr>
        <w:spacing w:after="0" w:line="240" w:lineRule="auto"/>
      </w:pPr>
      <w:r>
        <w:separator/>
      </w:r>
    </w:p>
  </w:endnote>
  <w:endnote w:type="continuationSeparator" w:id="0">
    <w:p w14:paraId="0996433B" w14:textId="77777777" w:rsidR="00BF1593" w:rsidRDefault="00BF1593" w:rsidP="00AF19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ill Sans MT">
    <w:altName w:val="Segoe UI"/>
    <w:charset w:val="EE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eastAsiaTheme="minorEastAsia" w:cs="Mangal"/>
        <w:sz w:val="20"/>
        <w:szCs w:val="21"/>
      </w:rPr>
      <w:id w:val="-1927404697"/>
      <w:docPartObj>
        <w:docPartGallery w:val="Page Numbers (Bottom of Page)"/>
        <w:docPartUnique/>
      </w:docPartObj>
    </w:sdtPr>
    <w:sdtContent>
      <w:p w14:paraId="3E46C609" w14:textId="77777777" w:rsidR="00000000" w:rsidRPr="001E399C" w:rsidRDefault="00FA578C" w:rsidP="001E399C">
        <w:pPr>
          <w:tabs>
            <w:tab w:val="center" w:pos="4536"/>
            <w:tab w:val="right" w:pos="9072"/>
          </w:tabs>
          <w:spacing w:before="100" w:after="200" w:line="276" w:lineRule="auto"/>
          <w:jc w:val="right"/>
          <w:rPr>
            <w:rFonts w:eastAsiaTheme="minorEastAsia" w:cs="Mangal"/>
            <w:sz w:val="20"/>
            <w:szCs w:val="21"/>
          </w:rPr>
        </w:pPr>
        <w:r w:rsidRPr="001E399C">
          <w:rPr>
            <w:rFonts w:eastAsiaTheme="minorEastAsia" w:cs="Mangal"/>
            <w:sz w:val="20"/>
            <w:szCs w:val="21"/>
          </w:rPr>
          <w:fldChar w:fldCharType="begin"/>
        </w:r>
        <w:r w:rsidRPr="001E399C">
          <w:rPr>
            <w:rFonts w:eastAsiaTheme="minorEastAsia" w:cs="Mangal"/>
            <w:sz w:val="20"/>
            <w:szCs w:val="21"/>
          </w:rPr>
          <w:instrText>PAGE   \* MERGEFORMAT</w:instrText>
        </w:r>
        <w:r w:rsidRPr="001E399C">
          <w:rPr>
            <w:rFonts w:eastAsiaTheme="minorEastAsia" w:cs="Mangal"/>
            <w:sz w:val="20"/>
            <w:szCs w:val="21"/>
          </w:rPr>
          <w:fldChar w:fldCharType="separate"/>
        </w:r>
        <w:r w:rsidR="008F61F5">
          <w:rPr>
            <w:rFonts w:eastAsiaTheme="minorEastAsia" w:cs="Mangal"/>
            <w:noProof/>
            <w:sz w:val="20"/>
            <w:szCs w:val="21"/>
          </w:rPr>
          <w:t>2</w:t>
        </w:r>
        <w:r w:rsidRPr="001E399C">
          <w:rPr>
            <w:rFonts w:eastAsiaTheme="minorEastAsia" w:cs="Mangal"/>
            <w:sz w:val="20"/>
            <w:szCs w:val="21"/>
          </w:rPr>
          <w:fldChar w:fldCharType="end"/>
        </w:r>
      </w:p>
    </w:sdtContent>
  </w:sdt>
  <w:p w14:paraId="3C282634" w14:textId="77777777" w:rsidR="00000000" w:rsidRDefault="00AF19DD" w:rsidP="00AF19DD">
    <w:pPr>
      <w:pStyle w:val="llb"/>
      <w:jc w:val="center"/>
    </w:pPr>
    <w:r w:rsidRPr="00D649CB">
      <w:t>Budafok-Tétény, Budapest XXII. kerületi Önkormányzat SZOCIÁLIS SZOLGÁLATA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C41CB2" w14:textId="77777777" w:rsidR="00BF1593" w:rsidRDefault="00BF1593" w:rsidP="00AF19DD">
      <w:pPr>
        <w:spacing w:after="0" w:line="240" w:lineRule="auto"/>
      </w:pPr>
      <w:r>
        <w:separator/>
      </w:r>
    </w:p>
  </w:footnote>
  <w:footnote w:type="continuationSeparator" w:id="0">
    <w:p w14:paraId="107BD6BF" w14:textId="77777777" w:rsidR="00BF1593" w:rsidRDefault="00BF1593" w:rsidP="00AF19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58C93D" w14:textId="77777777" w:rsidR="00AF19DD" w:rsidRPr="00AF19DD" w:rsidRDefault="00AF19DD" w:rsidP="00AF19DD">
    <w:pPr>
      <w:shd w:val="clear" w:color="auto" w:fill="FFFFFF"/>
      <w:spacing w:before="100" w:after="200" w:line="240" w:lineRule="auto"/>
      <w:ind w:firstLine="708"/>
      <w:rPr>
        <w:rFonts w:ascii="Tempus Sans ITC" w:eastAsia="Times New Roman" w:hAnsi="Tempus Sans ITC" w:cs="Arial"/>
        <w:b/>
        <w:bCs/>
        <w:caps/>
        <w:color w:val="213481"/>
        <w:sz w:val="38"/>
        <w:szCs w:val="38"/>
        <w:lang w:eastAsia="hu-HU"/>
      </w:rPr>
    </w:pPr>
    <w:r w:rsidRPr="00AF19DD">
      <w:rPr>
        <w:rFonts w:ascii="Arial" w:eastAsia="Times New Roman" w:hAnsi="Arial" w:cs="Arial"/>
        <w:noProof/>
        <w:color w:val="0000FF"/>
        <w:sz w:val="18"/>
        <w:szCs w:val="18"/>
        <w:lang w:eastAsia="hu-HU"/>
      </w:rPr>
      <w:drawing>
        <wp:anchor distT="0" distB="0" distL="114300" distR="114300" simplePos="0" relativeHeight="251659264" behindDoc="0" locked="0" layoutInCell="1" allowOverlap="1" wp14:anchorId="572D0F02" wp14:editId="76A5AF84">
          <wp:simplePos x="0" y="0"/>
          <wp:positionH relativeFrom="column">
            <wp:posOffset>-1633</wp:posOffset>
          </wp:positionH>
          <wp:positionV relativeFrom="paragraph">
            <wp:posOffset>63604</wp:posOffset>
          </wp:positionV>
          <wp:extent cx="403200" cy="943200"/>
          <wp:effectExtent l="0" t="0" r="0" b="0"/>
          <wp:wrapNone/>
          <wp:docPr id="2" name="Kép 2" descr="Szociális Szolgálat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zociális Szolgálat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3200" cy="943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AF19DD">
      <w:rPr>
        <w:rFonts w:ascii="Tempus Sans ITC" w:eastAsia="Times New Roman" w:hAnsi="Tempus Sans ITC" w:cs="Arial"/>
        <w:b/>
        <w:bCs/>
        <w:caps/>
        <w:color w:val="213481"/>
        <w:sz w:val="38"/>
        <w:szCs w:val="38"/>
        <w:lang w:eastAsia="hu-HU"/>
      </w:rPr>
      <w:t xml:space="preserve"> </w:t>
    </w:r>
  </w:p>
  <w:p w14:paraId="6A2D3114" w14:textId="77777777" w:rsidR="00AF19DD" w:rsidRPr="00AF19DD" w:rsidRDefault="00AF19DD" w:rsidP="00AF19DD">
    <w:pPr>
      <w:shd w:val="clear" w:color="auto" w:fill="FFFFFF"/>
      <w:spacing w:before="100" w:after="200" w:line="240" w:lineRule="auto"/>
      <w:ind w:firstLine="708"/>
      <w:rPr>
        <w:rFonts w:ascii="Tempus Sans ITC" w:eastAsia="Times New Roman" w:hAnsi="Tempus Sans ITC" w:cs="Arial"/>
        <w:b/>
        <w:bCs/>
        <w:caps/>
        <w:color w:val="213481"/>
        <w:lang w:eastAsia="hu-HU"/>
      </w:rPr>
    </w:pPr>
    <w:r w:rsidRPr="00AF19DD">
      <w:rPr>
        <w:rFonts w:ascii="Tempus Sans ITC" w:eastAsia="Times New Roman" w:hAnsi="Tempus Sans ITC" w:cs="Arial"/>
        <w:b/>
        <w:bCs/>
        <w:caps/>
        <w:color w:val="213481"/>
        <w:lang w:eastAsia="hu-HU"/>
      </w:rPr>
      <w:t>SZOCIÁLIS SZOLGÁLAT</w:t>
    </w:r>
  </w:p>
  <w:p w14:paraId="62C0B949" w14:textId="77777777" w:rsidR="00AF19DD" w:rsidRPr="00AF19DD" w:rsidRDefault="00AF19DD" w:rsidP="00AF19DD">
    <w:pPr>
      <w:pBdr>
        <w:bottom w:val="single" w:sz="12" w:space="1" w:color="auto"/>
      </w:pBdr>
      <w:tabs>
        <w:tab w:val="center" w:pos="4536"/>
        <w:tab w:val="right" w:pos="9072"/>
      </w:tabs>
      <w:spacing w:before="100" w:after="0" w:line="276" w:lineRule="auto"/>
      <w:rPr>
        <w:rFonts w:ascii="Gill Sans MT" w:eastAsia="Times New Roman" w:hAnsi="Gill Sans MT" w:cs="Mangal"/>
        <w:i/>
        <w:iCs/>
        <w:color w:val="243255"/>
        <w:sz w:val="20"/>
        <w:szCs w:val="21"/>
      </w:rPr>
    </w:pPr>
    <w:r w:rsidRPr="00AF19DD">
      <w:rPr>
        <w:rFonts w:ascii="Gill Sans MT" w:eastAsia="Times New Roman" w:hAnsi="Gill Sans MT" w:cs="Mangal"/>
        <w:sz w:val="20"/>
        <w:szCs w:val="21"/>
      </w:rPr>
      <w:tab/>
      <w:t xml:space="preserve">                  </w:t>
    </w:r>
    <w:r w:rsidRPr="00AF19DD">
      <w:rPr>
        <w:rFonts w:ascii="Gill Sans MT" w:eastAsia="Times New Roman" w:hAnsi="Gill Sans MT" w:cs="Mangal"/>
        <w:sz w:val="20"/>
        <w:szCs w:val="21"/>
      </w:rPr>
      <w:tab/>
      <w:t xml:space="preserve">    </w:t>
    </w:r>
    <w:r w:rsidRPr="00AF19DD">
      <w:rPr>
        <w:rFonts w:ascii="Gill Sans MT" w:eastAsia="Times New Roman" w:hAnsi="Gill Sans MT" w:cs="Mangal"/>
        <w:i/>
        <w:iCs/>
        <w:color w:val="243255"/>
        <w:sz w:val="20"/>
        <w:szCs w:val="21"/>
      </w:rPr>
      <w:t>Adatvédelmi szabályzat 20</w:t>
    </w:r>
    <w:r w:rsidR="008F61F5">
      <w:rPr>
        <w:rFonts w:ascii="Gill Sans MT" w:eastAsia="Times New Roman" w:hAnsi="Gill Sans MT" w:cs="Mangal"/>
        <w:i/>
        <w:iCs/>
        <w:color w:val="243255"/>
        <w:sz w:val="20"/>
        <w:szCs w:val="21"/>
      </w:rPr>
      <w:t>23</w:t>
    </w:r>
  </w:p>
  <w:p w14:paraId="16910A60" w14:textId="77777777" w:rsidR="00000000" w:rsidRDefault="00000000" w:rsidP="001E399C">
    <w:pPr>
      <w:pStyle w:val="lfej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19DD"/>
    <w:rsid w:val="00116930"/>
    <w:rsid w:val="002129D1"/>
    <w:rsid w:val="003F3359"/>
    <w:rsid w:val="00855D83"/>
    <w:rsid w:val="008F61F5"/>
    <w:rsid w:val="00AF19DD"/>
    <w:rsid w:val="00BF1593"/>
    <w:rsid w:val="00FA5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005EC2"/>
  <w15:chartTrackingRefBased/>
  <w15:docId w15:val="{879ABEB6-C0BB-4FD4-B2D3-2A7B60DAC8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AF19D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AF19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AF19DD"/>
  </w:style>
  <w:style w:type="paragraph" w:styleId="llb">
    <w:name w:val="footer"/>
    <w:basedOn w:val="Norml"/>
    <w:link w:val="llbChar"/>
    <w:uiPriority w:val="99"/>
    <w:unhideWhenUsed/>
    <w:rsid w:val="00AF19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AF19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hyperlink" Target="http://szocszolg22.hu/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338</Words>
  <Characters>2336</Characters>
  <Application>Microsoft Office Word</Application>
  <DocSecurity>0</DocSecurity>
  <Lines>19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Vass Dániel Béla</dc:creator>
  <cp:keywords/>
  <dc:description/>
  <cp:lastModifiedBy>Szilvia Szilágyiné Szalay</cp:lastModifiedBy>
  <cp:revision>2</cp:revision>
  <dcterms:created xsi:type="dcterms:W3CDTF">2023-11-08T13:26:00Z</dcterms:created>
  <dcterms:modified xsi:type="dcterms:W3CDTF">2023-11-08T13:26:00Z</dcterms:modified>
</cp:coreProperties>
</file>